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3B6D" w14:textId="2DD27DFF" w:rsidR="00440350" w:rsidRPr="00C672BA" w:rsidRDefault="006D7DBA" w:rsidP="000871CE">
      <w:pPr>
        <w:pStyle w:val="BodyText"/>
        <w:spacing w:before="114"/>
        <w:ind w:left="0"/>
        <w:rPr>
          <w:rFonts w:ascii="Century Gothic" w:hAnsi="Century Gothic"/>
          <w:spacing w:val="-1"/>
          <w:sz w:val="32"/>
        </w:rPr>
      </w:pPr>
      <w:r>
        <w:rPr>
          <w:rFonts w:ascii="Century Gothic" w:hAnsi="Century Gothic"/>
          <w:noProof/>
          <w:spacing w:val="-1"/>
          <w:sz w:val="32"/>
        </w:rPr>
        <w:drawing>
          <wp:anchor distT="0" distB="0" distL="114300" distR="114300" simplePos="0" relativeHeight="251658240" behindDoc="0" locked="0" layoutInCell="1" allowOverlap="1" wp14:anchorId="7F385F8C" wp14:editId="22E61C7C">
            <wp:simplePos x="0" y="0"/>
            <wp:positionH relativeFrom="column">
              <wp:posOffset>5219700</wp:posOffset>
            </wp:positionH>
            <wp:positionV relativeFrom="paragraph">
              <wp:posOffset>-260350</wp:posOffset>
            </wp:positionV>
            <wp:extent cx="1501140" cy="799897"/>
            <wp:effectExtent l="0" t="0" r="3810" b="635"/>
            <wp:wrapNone/>
            <wp:docPr id="2" name="Picture 2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AIM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79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6FD08" w14:textId="6F495C69" w:rsidR="002D11D7" w:rsidRPr="006D7DBA" w:rsidRDefault="7FCEDC71" w:rsidP="006D7DBA">
      <w:pPr>
        <w:pStyle w:val="BodyText"/>
        <w:spacing w:before="114"/>
        <w:ind w:left="0"/>
        <w:rPr>
          <w:rFonts w:ascii="Century Gothic" w:hAnsi="Century Gothic"/>
          <w:b w:val="0"/>
          <w:bCs w:val="0"/>
        </w:rPr>
      </w:pPr>
      <w:r w:rsidRPr="7DF35A3E">
        <w:rPr>
          <w:rFonts w:ascii="Century Gothic" w:hAnsi="Century Gothic"/>
          <w:spacing w:val="-1"/>
          <w:sz w:val="32"/>
          <w:szCs w:val="32"/>
        </w:rPr>
        <w:t>CCAG</w:t>
      </w:r>
      <w:r w:rsidR="00515FDE" w:rsidRPr="7DF35A3E">
        <w:rPr>
          <w:rFonts w:ascii="Century Gothic" w:hAnsi="Century Gothic"/>
          <w:spacing w:val="-1"/>
          <w:sz w:val="32"/>
          <w:szCs w:val="32"/>
        </w:rPr>
        <w:t xml:space="preserve"> Budget </w:t>
      </w:r>
      <w:r w:rsidR="0084251E" w:rsidRPr="7DF35A3E">
        <w:rPr>
          <w:rFonts w:ascii="Century Gothic" w:hAnsi="Century Gothic"/>
          <w:spacing w:val="-1"/>
          <w:sz w:val="32"/>
          <w:szCs w:val="32"/>
        </w:rPr>
        <w:t xml:space="preserve">Amendment </w:t>
      </w:r>
      <w:r w:rsidR="00515FDE" w:rsidRPr="7DF35A3E">
        <w:rPr>
          <w:rFonts w:ascii="Century Gothic" w:hAnsi="Century Gothic"/>
          <w:spacing w:val="-1"/>
          <w:sz w:val="32"/>
          <w:szCs w:val="32"/>
        </w:rPr>
        <w:t>Template</w:t>
      </w:r>
    </w:p>
    <w:tbl>
      <w:tblPr>
        <w:tblpPr w:leftFromText="180" w:rightFromText="180" w:vertAnchor="text" w:horzAnchor="margin" w:tblpY="15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250"/>
        <w:gridCol w:w="2340"/>
        <w:gridCol w:w="3780"/>
      </w:tblGrid>
      <w:tr w:rsidR="00296A95" w:rsidRPr="004D6D20" w14:paraId="02EEDB39" w14:textId="6ACEB837" w:rsidTr="001140DF">
        <w:trPr>
          <w:trHeight w:hRule="exact" w:val="569"/>
        </w:trPr>
        <w:tc>
          <w:tcPr>
            <w:tcW w:w="2335" w:type="dxa"/>
            <w:shd w:val="clear" w:color="auto" w:fill="auto"/>
          </w:tcPr>
          <w:p w14:paraId="2EEEC0B8" w14:textId="77777777" w:rsidR="00296A95" w:rsidRPr="004D6D20" w:rsidRDefault="00296A95" w:rsidP="00296A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250" w:type="dxa"/>
            <w:shd w:val="clear" w:color="auto" w:fill="F1F1F1"/>
          </w:tcPr>
          <w:p w14:paraId="7F4A9FA5" w14:textId="390B215F" w:rsidR="00296A95" w:rsidRPr="0084251E" w:rsidRDefault="0084251E" w:rsidP="00296A95">
            <w:pPr>
              <w:pStyle w:val="TableParagraph"/>
              <w:spacing w:before="18" w:line="225" w:lineRule="exact"/>
              <w:jc w:val="center"/>
              <w:rPr>
                <w:rFonts w:ascii="Century Gothic" w:hAnsi="Century Gothic"/>
                <w:b/>
                <w:spacing w:val="-1"/>
                <w:sz w:val="20"/>
                <w:szCs w:val="20"/>
              </w:rPr>
            </w:pPr>
            <w:r w:rsidRPr="0084251E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Current Year </w:t>
            </w:r>
            <w:r w:rsidR="00177776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2</w:t>
            </w:r>
            <w:r w:rsidRPr="0084251E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Budget</w:t>
            </w:r>
          </w:p>
          <w:p w14:paraId="4F590932" w14:textId="0661072D" w:rsidR="00296A95" w:rsidRPr="0084251E" w:rsidRDefault="00296A95" w:rsidP="00296A95">
            <w:pPr>
              <w:pStyle w:val="TableParagraph"/>
              <w:spacing w:before="18" w:line="225" w:lineRule="exact"/>
              <w:jc w:val="center"/>
              <w:rPr>
                <w:rFonts w:ascii="Century Gothic" w:hAnsi="Century Gothic"/>
                <w:b/>
                <w:spacing w:val="-1"/>
                <w:sz w:val="20"/>
                <w:szCs w:val="20"/>
              </w:rPr>
            </w:pPr>
            <w:r w:rsidRPr="0084251E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202</w:t>
            </w:r>
            <w:r w:rsidR="00177776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4</w:t>
            </w:r>
            <w:r w:rsidRPr="0084251E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-202</w:t>
            </w:r>
            <w:r w:rsidR="00177776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F1F1F1"/>
          </w:tcPr>
          <w:p w14:paraId="6FA2BF0B" w14:textId="166C769B" w:rsidR="00296A95" w:rsidRPr="0084251E" w:rsidRDefault="0084251E" w:rsidP="00296A95">
            <w:pPr>
              <w:pStyle w:val="TableParagraph"/>
              <w:spacing w:before="18" w:line="225" w:lineRule="exact"/>
              <w:jc w:val="center"/>
              <w:rPr>
                <w:rFonts w:ascii="Century Gothic" w:hAnsi="Century Gothic"/>
                <w:b/>
                <w:spacing w:val="-1"/>
                <w:sz w:val="20"/>
                <w:szCs w:val="20"/>
              </w:rPr>
            </w:pPr>
            <w:r w:rsidRPr="0084251E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Updated Year </w:t>
            </w:r>
            <w:r w:rsidR="00177776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2</w:t>
            </w:r>
            <w:r w:rsidRPr="0084251E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Budget</w:t>
            </w:r>
          </w:p>
          <w:p w14:paraId="440162CB" w14:textId="5F82842C" w:rsidR="0084251E" w:rsidRPr="0084251E" w:rsidRDefault="0084251E" w:rsidP="00296A95">
            <w:pPr>
              <w:pStyle w:val="TableParagraph"/>
              <w:spacing w:before="18" w:line="225" w:lineRule="exact"/>
              <w:jc w:val="center"/>
              <w:rPr>
                <w:rFonts w:ascii="Century Gothic" w:hAnsi="Century Gothic"/>
                <w:b/>
                <w:spacing w:val="-1"/>
                <w:sz w:val="20"/>
                <w:szCs w:val="20"/>
              </w:rPr>
            </w:pPr>
            <w:r w:rsidRPr="0084251E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202</w:t>
            </w:r>
            <w:r w:rsidR="00177776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4</w:t>
            </w:r>
            <w:r w:rsidRPr="0084251E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-202</w:t>
            </w:r>
            <w:r w:rsidR="00177776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5</w:t>
            </w:r>
          </w:p>
        </w:tc>
        <w:tc>
          <w:tcPr>
            <w:tcW w:w="3780" w:type="dxa"/>
            <w:shd w:val="clear" w:color="auto" w:fill="F1F1F1"/>
          </w:tcPr>
          <w:p w14:paraId="7792D0D1" w14:textId="77777777" w:rsidR="00296A95" w:rsidRDefault="00296A95" w:rsidP="00296A95">
            <w:pPr>
              <w:pStyle w:val="TableParagraph"/>
              <w:spacing w:before="18" w:line="225" w:lineRule="exact"/>
              <w:jc w:val="center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 xml:space="preserve">Brief </w:t>
            </w:r>
          </w:p>
          <w:p w14:paraId="177E0C4C" w14:textId="38783B97" w:rsidR="00296A95" w:rsidRPr="00296A95" w:rsidRDefault="00296A95" w:rsidP="00296A95">
            <w:pPr>
              <w:pStyle w:val="TableParagraph"/>
              <w:spacing w:before="18" w:line="225" w:lineRule="exact"/>
              <w:jc w:val="center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>Narrative</w:t>
            </w:r>
          </w:p>
        </w:tc>
      </w:tr>
      <w:tr w:rsidR="00296A95" w:rsidRPr="004D6D20" w14:paraId="4B567576" w14:textId="59AA6BE4" w:rsidTr="001140DF">
        <w:trPr>
          <w:trHeight w:hRule="exact" w:val="253"/>
        </w:trPr>
        <w:tc>
          <w:tcPr>
            <w:tcW w:w="2335" w:type="dxa"/>
            <w:shd w:val="clear" w:color="auto" w:fill="642667"/>
          </w:tcPr>
          <w:p w14:paraId="205CC47E" w14:textId="6B2A3010" w:rsidR="00296A95" w:rsidRPr="00296A95" w:rsidRDefault="00296A95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spacing w:val="-1"/>
                <w:sz w:val="18"/>
              </w:rPr>
            </w:pPr>
            <w:r w:rsidRPr="00824A3F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</w:rPr>
              <w:t>PERSONNEL</w:t>
            </w:r>
          </w:p>
        </w:tc>
        <w:tc>
          <w:tcPr>
            <w:tcW w:w="2250" w:type="dxa"/>
            <w:shd w:val="clear" w:color="auto" w:fill="642667"/>
          </w:tcPr>
          <w:p w14:paraId="3436089D" w14:textId="77777777" w:rsidR="00296A95" w:rsidRPr="0084251E" w:rsidRDefault="00296A95" w:rsidP="00824A3F">
            <w:pPr>
              <w:pStyle w:val="TableParagraph"/>
              <w:spacing w:before="17"/>
              <w:ind w:left="25" w:firstLine="720"/>
              <w:rPr>
                <w:rFonts w:ascii="Century Gothic" w:hAnsi="Century Gothic"/>
                <w:b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642667"/>
          </w:tcPr>
          <w:p w14:paraId="6ECB6C30" w14:textId="77777777" w:rsidR="00296A95" w:rsidRPr="0084251E" w:rsidRDefault="00296A95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spacing w:val="-1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642667"/>
          </w:tcPr>
          <w:p w14:paraId="79F9F113" w14:textId="77777777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spacing w:val="-1"/>
                <w:sz w:val="18"/>
              </w:rPr>
            </w:pPr>
          </w:p>
        </w:tc>
      </w:tr>
      <w:tr w:rsidR="00296A95" w:rsidRPr="004D6D20" w14:paraId="2BA8C5EE" w14:textId="04A271A6" w:rsidTr="001140DF">
        <w:trPr>
          <w:trHeight w:hRule="exact" w:val="301"/>
        </w:trPr>
        <w:tc>
          <w:tcPr>
            <w:tcW w:w="2335" w:type="dxa"/>
          </w:tcPr>
          <w:p w14:paraId="4EE5164B" w14:textId="77777777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4D6D20">
              <w:rPr>
                <w:rFonts w:ascii="Century Gothic" w:hAnsi="Century Gothic"/>
                <w:spacing w:val="-1"/>
                <w:sz w:val="18"/>
              </w:rPr>
              <w:t>Salaries &amp; Wages</w:t>
            </w:r>
            <w:r w:rsidRPr="004D6D20">
              <w:rPr>
                <w:rFonts w:ascii="Century Gothic" w:hAnsi="Century Gothic"/>
                <w:spacing w:val="-8"/>
                <w:sz w:val="18"/>
              </w:rPr>
              <w:t xml:space="preserve"> </w:t>
            </w:r>
            <w:r w:rsidRPr="004D6D20">
              <w:rPr>
                <w:rFonts w:ascii="Century Gothic" w:hAnsi="Century Gothic"/>
                <w:spacing w:val="-1"/>
                <w:sz w:val="18"/>
              </w:rPr>
              <w:t>(each</w:t>
            </w:r>
            <w:r w:rsidRPr="004D6D20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4D6D20">
              <w:rPr>
                <w:rFonts w:ascii="Century Gothic" w:hAnsi="Century Gothic"/>
                <w:sz w:val="18"/>
              </w:rPr>
              <w:t>position)</w:t>
            </w:r>
          </w:p>
        </w:tc>
        <w:tc>
          <w:tcPr>
            <w:tcW w:w="2250" w:type="dxa"/>
            <w:shd w:val="clear" w:color="auto" w:fill="auto"/>
          </w:tcPr>
          <w:p w14:paraId="767F7632" w14:textId="77777777" w:rsidR="00296A95" w:rsidRPr="004D6D20" w:rsidRDefault="00296A95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340" w:type="dxa"/>
          </w:tcPr>
          <w:p w14:paraId="2E6EFE32" w14:textId="77777777" w:rsidR="00296A95" w:rsidRPr="004D6D20" w:rsidRDefault="00296A95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780" w:type="dxa"/>
            <w:vMerge w:val="restart"/>
          </w:tcPr>
          <w:p w14:paraId="66EE97A3" w14:textId="77777777" w:rsidR="00296A95" w:rsidRPr="004D6D20" w:rsidRDefault="00296A95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296A95" w:rsidRPr="004D6D20" w14:paraId="600876F7" w14:textId="6A3C3A1B" w:rsidTr="001140DF">
        <w:trPr>
          <w:trHeight w:hRule="exact" w:val="312"/>
        </w:trPr>
        <w:tc>
          <w:tcPr>
            <w:tcW w:w="2335" w:type="dxa"/>
          </w:tcPr>
          <w:p w14:paraId="04BE04BF" w14:textId="77777777" w:rsidR="00296A95" w:rsidRPr="004D6D20" w:rsidRDefault="00296A95" w:rsidP="00296A95">
            <w:pPr>
              <w:rPr>
                <w:rFonts w:ascii="Century Gothic" w:hAnsi="Century Gothic"/>
                <w:sz w:val="18"/>
              </w:rPr>
            </w:pPr>
            <w:r w:rsidRPr="004D6D20">
              <w:rPr>
                <w:rFonts w:ascii="Century Gothic" w:hAnsi="Century Gothic"/>
                <w:sz w:val="18"/>
              </w:rPr>
              <w:t xml:space="preserve">  </w:t>
            </w:r>
          </w:p>
        </w:tc>
        <w:tc>
          <w:tcPr>
            <w:tcW w:w="2250" w:type="dxa"/>
            <w:shd w:val="clear" w:color="auto" w:fill="auto"/>
          </w:tcPr>
          <w:p w14:paraId="401D914B" w14:textId="77777777" w:rsidR="00296A95" w:rsidRPr="004D6D20" w:rsidRDefault="00296A95" w:rsidP="00296A95">
            <w:pPr>
              <w:pStyle w:val="TableParagraph"/>
              <w:spacing w:before="7"/>
              <w:ind w:right="18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5C6C1DB8" w14:textId="77777777" w:rsidR="00296A95" w:rsidRPr="004D6D20" w:rsidRDefault="00296A95" w:rsidP="00296A95">
            <w:pPr>
              <w:pStyle w:val="TableParagraph"/>
              <w:spacing w:before="7"/>
              <w:ind w:right="18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  <w:vMerge/>
          </w:tcPr>
          <w:p w14:paraId="238DFB3F" w14:textId="77777777" w:rsidR="00296A95" w:rsidRPr="004D6D20" w:rsidRDefault="00296A95" w:rsidP="00296A95">
            <w:pPr>
              <w:pStyle w:val="TableParagraph"/>
              <w:spacing w:before="7"/>
              <w:ind w:right="18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296A95" w:rsidRPr="004D6D20" w14:paraId="3B7A3B4F" w14:textId="18EC66C6" w:rsidTr="001140DF">
        <w:trPr>
          <w:trHeight w:hRule="exact" w:val="301"/>
        </w:trPr>
        <w:tc>
          <w:tcPr>
            <w:tcW w:w="2335" w:type="dxa"/>
          </w:tcPr>
          <w:p w14:paraId="3FC8CAA1" w14:textId="77777777" w:rsidR="00296A95" w:rsidRPr="004D6D20" w:rsidRDefault="00296A95" w:rsidP="00296A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250" w:type="dxa"/>
            <w:shd w:val="clear" w:color="auto" w:fill="auto"/>
          </w:tcPr>
          <w:p w14:paraId="6FE3EE35" w14:textId="77777777" w:rsidR="00296A95" w:rsidRPr="004D6D20" w:rsidRDefault="00296A95" w:rsidP="00296A95">
            <w:pPr>
              <w:pStyle w:val="TableParagraph"/>
              <w:spacing w:before="7"/>
              <w:ind w:right="18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7FF037CF" w14:textId="77777777" w:rsidR="00296A95" w:rsidRPr="004D6D20" w:rsidRDefault="00296A95" w:rsidP="00296A95">
            <w:pPr>
              <w:pStyle w:val="TableParagraph"/>
              <w:spacing w:before="7"/>
              <w:ind w:right="18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  <w:vMerge/>
          </w:tcPr>
          <w:p w14:paraId="402F66F6" w14:textId="77777777" w:rsidR="00296A95" w:rsidRPr="004D6D20" w:rsidRDefault="00296A95" w:rsidP="00296A95">
            <w:pPr>
              <w:pStyle w:val="TableParagraph"/>
              <w:spacing w:before="7"/>
              <w:ind w:right="18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296A95" w:rsidRPr="004D6D20" w14:paraId="59530B2C" w14:textId="758DCB92" w:rsidTr="001140DF">
        <w:trPr>
          <w:trHeight w:hRule="exact" w:val="301"/>
        </w:trPr>
        <w:tc>
          <w:tcPr>
            <w:tcW w:w="2335" w:type="dxa"/>
          </w:tcPr>
          <w:p w14:paraId="5B42224F" w14:textId="77777777" w:rsidR="00296A95" w:rsidRPr="004D6D20" w:rsidRDefault="00296A95" w:rsidP="00296A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250" w:type="dxa"/>
            <w:shd w:val="clear" w:color="auto" w:fill="auto"/>
          </w:tcPr>
          <w:p w14:paraId="37E140CC" w14:textId="77777777" w:rsidR="00296A95" w:rsidRPr="004D6D20" w:rsidRDefault="00296A95" w:rsidP="00296A95">
            <w:pPr>
              <w:pStyle w:val="TableParagraph"/>
              <w:spacing w:before="7"/>
              <w:ind w:right="18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58254021" w14:textId="77777777" w:rsidR="00296A95" w:rsidRPr="004D6D20" w:rsidRDefault="00296A95" w:rsidP="00296A95">
            <w:pPr>
              <w:pStyle w:val="TableParagraph"/>
              <w:spacing w:before="7"/>
              <w:ind w:right="18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  <w:vMerge/>
          </w:tcPr>
          <w:p w14:paraId="5BC7A8EF" w14:textId="77777777" w:rsidR="00296A95" w:rsidRPr="004D6D20" w:rsidRDefault="00296A95" w:rsidP="00296A95">
            <w:pPr>
              <w:pStyle w:val="TableParagraph"/>
              <w:spacing w:before="7"/>
              <w:ind w:right="18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69276F" w:rsidRPr="004D6D20" w14:paraId="05B817DA" w14:textId="15A8AD45" w:rsidTr="001140DF">
        <w:trPr>
          <w:trHeight w:hRule="exact" w:val="301"/>
        </w:trPr>
        <w:tc>
          <w:tcPr>
            <w:tcW w:w="2335" w:type="dxa"/>
            <w:shd w:val="clear" w:color="auto" w:fill="D9D9D9" w:themeFill="background1" w:themeFillShade="D9"/>
          </w:tcPr>
          <w:p w14:paraId="61E06C53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b/>
                <w:bCs/>
                <w:sz w:val="18"/>
                <w:szCs w:val="20"/>
              </w:rPr>
            </w:pPr>
            <w:r w:rsidRPr="004D6D20">
              <w:rPr>
                <w:rFonts w:ascii="Century Gothic" w:hAnsi="Century Gothic"/>
                <w:b/>
                <w:bCs/>
                <w:spacing w:val="-1"/>
                <w:sz w:val="18"/>
              </w:rPr>
              <w:t xml:space="preserve">TOAL SALARIES &amp; WAGES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3BA7BA2" w14:textId="77777777" w:rsidR="0069276F" w:rsidRPr="004D6D20" w:rsidRDefault="0069276F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0C0DA121" w14:textId="77777777" w:rsidR="0069276F" w:rsidRPr="004D6D20" w:rsidRDefault="0069276F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  <w:vMerge w:val="restart"/>
            <w:shd w:val="clear" w:color="auto" w:fill="D9D9D9" w:themeFill="background1" w:themeFillShade="D9"/>
          </w:tcPr>
          <w:p w14:paraId="030BFEBF" w14:textId="054627E8" w:rsidR="0069276F" w:rsidRPr="004D6D20" w:rsidRDefault="0069276F" w:rsidP="0069276F">
            <w:pPr>
              <w:pStyle w:val="TableParagraph"/>
              <w:spacing w:before="17"/>
              <w:ind w:right="23"/>
              <w:rPr>
                <w:rFonts w:ascii="Century Gothic" w:eastAsia="Calibri" w:hAnsi="Century Gothic" w:cs="Calibri"/>
                <w:sz w:val="18"/>
                <w:szCs w:val="20"/>
              </w:rPr>
            </w:pPr>
            <w:r>
              <w:rPr>
                <w:rFonts w:ascii="Century Gothic" w:eastAsia="Calibri" w:hAnsi="Century Gothic" w:cs="Calibri"/>
                <w:sz w:val="18"/>
                <w:szCs w:val="20"/>
              </w:rPr>
              <w:t>If deviates from AIM fringe rate, please note why:</w:t>
            </w:r>
          </w:p>
        </w:tc>
      </w:tr>
      <w:tr w:rsidR="0069276F" w:rsidRPr="004D6D20" w14:paraId="5DD36E0A" w14:textId="7E388E38" w:rsidTr="001140DF">
        <w:trPr>
          <w:trHeight w:hRule="exact" w:val="290"/>
        </w:trPr>
        <w:tc>
          <w:tcPr>
            <w:tcW w:w="2335" w:type="dxa"/>
            <w:shd w:val="clear" w:color="auto" w:fill="D9D9D9" w:themeFill="background1" w:themeFillShade="D9"/>
          </w:tcPr>
          <w:p w14:paraId="0277C3CA" w14:textId="7AFF2B3A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b/>
                <w:bCs/>
                <w:sz w:val="18"/>
                <w:szCs w:val="20"/>
              </w:rPr>
            </w:pPr>
            <w:r w:rsidRPr="004D6D20">
              <w:rPr>
                <w:rFonts w:ascii="Century Gothic" w:hAnsi="Century Gothic"/>
                <w:b/>
                <w:bCs/>
                <w:spacing w:val="-1"/>
                <w:sz w:val="18"/>
              </w:rPr>
              <w:t>+ FRINGE BENEFITS</w:t>
            </w:r>
            <w:r>
              <w:rPr>
                <w:rFonts w:ascii="Century Gothic" w:hAnsi="Century Gothic"/>
                <w:b/>
                <w:bCs/>
                <w:spacing w:val="-1"/>
                <w:sz w:val="18"/>
              </w:rPr>
              <w:t xml:space="preserve"> (25.62%)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1949E56" w14:textId="77777777" w:rsidR="0069276F" w:rsidRPr="004D6D20" w:rsidRDefault="0069276F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340EE6FB" w14:textId="77777777" w:rsidR="0069276F" w:rsidRPr="004D6D20" w:rsidRDefault="0069276F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780" w:type="dxa"/>
            <w:vMerge/>
            <w:shd w:val="clear" w:color="auto" w:fill="D9D9D9" w:themeFill="background1" w:themeFillShade="D9"/>
          </w:tcPr>
          <w:p w14:paraId="5AB4FA53" w14:textId="77777777" w:rsidR="0069276F" w:rsidRPr="004D6D20" w:rsidRDefault="0069276F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9276F" w:rsidRPr="004D6D20" w14:paraId="13CCE2FB" w14:textId="6BF415FF" w:rsidTr="001140DF">
        <w:trPr>
          <w:trHeight w:hRule="exact" w:val="290"/>
        </w:trPr>
        <w:tc>
          <w:tcPr>
            <w:tcW w:w="2335" w:type="dxa"/>
            <w:shd w:val="clear" w:color="auto" w:fill="D9D9D9" w:themeFill="background1" w:themeFillShade="D9"/>
          </w:tcPr>
          <w:p w14:paraId="13316D26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bCs/>
                <w:spacing w:val="-1"/>
                <w:sz w:val="18"/>
              </w:rPr>
            </w:pPr>
            <w:r w:rsidRPr="004D6D20">
              <w:rPr>
                <w:rFonts w:ascii="Century Gothic" w:hAnsi="Century Gothic"/>
                <w:b/>
                <w:bCs/>
                <w:spacing w:val="-1"/>
                <w:sz w:val="18"/>
              </w:rPr>
              <w:t xml:space="preserve">TOTAL PERSONNEL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3016143" w14:textId="77777777" w:rsidR="0069276F" w:rsidRPr="004D6D20" w:rsidRDefault="0069276F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73C43D65" w14:textId="77777777" w:rsidR="0069276F" w:rsidRPr="004D6D20" w:rsidRDefault="0069276F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780" w:type="dxa"/>
            <w:vMerge/>
            <w:shd w:val="clear" w:color="auto" w:fill="D9D9D9" w:themeFill="background1" w:themeFillShade="D9"/>
          </w:tcPr>
          <w:p w14:paraId="0DFCBB4B" w14:textId="77777777" w:rsidR="0069276F" w:rsidRPr="004D6D20" w:rsidRDefault="0069276F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9276F" w:rsidRPr="004D6D20" w14:paraId="51514BE5" w14:textId="33A9F634" w:rsidTr="001140DF">
        <w:trPr>
          <w:trHeight w:hRule="exact" w:val="301"/>
        </w:trPr>
        <w:tc>
          <w:tcPr>
            <w:tcW w:w="2335" w:type="dxa"/>
            <w:shd w:val="clear" w:color="auto" w:fill="642667"/>
          </w:tcPr>
          <w:p w14:paraId="362C6F3B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824A3F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</w:rPr>
              <w:t xml:space="preserve">OTHER DIRECT EXPENSES </w:t>
            </w:r>
          </w:p>
        </w:tc>
        <w:tc>
          <w:tcPr>
            <w:tcW w:w="2250" w:type="dxa"/>
            <w:shd w:val="clear" w:color="auto" w:fill="642667"/>
          </w:tcPr>
          <w:p w14:paraId="33702C9F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spacing w:val="-1"/>
                <w:sz w:val="18"/>
              </w:rPr>
            </w:pPr>
          </w:p>
        </w:tc>
        <w:tc>
          <w:tcPr>
            <w:tcW w:w="2340" w:type="dxa"/>
            <w:shd w:val="clear" w:color="auto" w:fill="642667"/>
          </w:tcPr>
          <w:p w14:paraId="68E6F514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spacing w:val="-1"/>
                <w:sz w:val="18"/>
              </w:rPr>
            </w:pPr>
          </w:p>
        </w:tc>
        <w:tc>
          <w:tcPr>
            <w:tcW w:w="3780" w:type="dxa"/>
            <w:vMerge/>
            <w:shd w:val="clear" w:color="auto" w:fill="D9D9D9" w:themeFill="background1" w:themeFillShade="D9"/>
          </w:tcPr>
          <w:p w14:paraId="1A56E715" w14:textId="77777777" w:rsidR="0069276F" w:rsidRPr="004D6D20" w:rsidRDefault="0069276F" w:rsidP="0069276F">
            <w:pPr>
              <w:pStyle w:val="TableParagraph"/>
              <w:spacing w:before="17"/>
              <w:ind w:right="23"/>
              <w:rPr>
                <w:rFonts w:ascii="Century Gothic" w:hAnsi="Century Gothic"/>
                <w:b/>
                <w:spacing w:val="-1"/>
                <w:sz w:val="18"/>
              </w:rPr>
            </w:pPr>
          </w:p>
        </w:tc>
      </w:tr>
      <w:tr w:rsidR="00296A95" w:rsidRPr="004D6D20" w14:paraId="53DC3273" w14:textId="12EBE154" w:rsidTr="001140DF">
        <w:trPr>
          <w:trHeight w:hRule="exact" w:val="718"/>
        </w:trPr>
        <w:tc>
          <w:tcPr>
            <w:tcW w:w="2335" w:type="dxa"/>
          </w:tcPr>
          <w:p w14:paraId="444AA64E" w14:textId="77777777" w:rsidR="00296A95" w:rsidRDefault="00296A95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spacing w:val="-1"/>
                <w:sz w:val="18"/>
              </w:rPr>
            </w:pPr>
            <w:r w:rsidRPr="004D6D20">
              <w:rPr>
                <w:rFonts w:ascii="Century Gothic" w:hAnsi="Century Gothic"/>
                <w:spacing w:val="-1"/>
                <w:sz w:val="18"/>
              </w:rPr>
              <w:t>Supplies</w:t>
            </w:r>
          </w:p>
          <w:p w14:paraId="2C116E9E" w14:textId="77777777" w:rsidR="00296A95" w:rsidRDefault="00296A95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spacing w:val="-1"/>
                <w:sz w:val="18"/>
              </w:rPr>
            </w:pPr>
          </w:p>
          <w:p w14:paraId="6C811222" w14:textId="77777777" w:rsidR="00296A95" w:rsidRDefault="00296A95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spacing w:val="-1"/>
                <w:sz w:val="18"/>
              </w:rPr>
            </w:pPr>
          </w:p>
          <w:p w14:paraId="36D97545" w14:textId="11D67CDE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6918C2B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75A4AAF3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</w:tcPr>
          <w:p w14:paraId="7E301F0A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296A95" w:rsidRPr="004D6D20" w14:paraId="47A00432" w14:textId="1723C66F" w:rsidTr="001140DF">
        <w:trPr>
          <w:trHeight w:hRule="exact" w:val="898"/>
        </w:trPr>
        <w:tc>
          <w:tcPr>
            <w:tcW w:w="2335" w:type="dxa"/>
          </w:tcPr>
          <w:p w14:paraId="41885A11" w14:textId="77777777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4D6D20">
              <w:rPr>
                <w:rFonts w:ascii="Century Gothic" w:hAnsi="Century Gothic"/>
                <w:spacing w:val="-1"/>
                <w:sz w:val="18"/>
              </w:rPr>
              <w:t>Equipment</w:t>
            </w:r>
          </w:p>
        </w:tc>
        <w:tc>
          <w:tcPr>
            <w:tcW w:w="2250" w:type="dxa"/>
            <w:shd w:val="clear" w:color="auto" w:fill="auto"/>
          </w:tcPr>
          <w:p w14:paraId="72FE8143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18ED6D2C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</w:tcPr>
          <w:p w14:paraId="52805748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296A95" w:rsidRPr="004D6D20" w14:paraId="14738D35" w14:textId="20A13F86" w:rsidTr="001140DF">
        <w:trPr>
          <w:trHeight w:hRule="exact" w:val="898"/>
        </w:trPr>
        <w:tc>
          <w:tcPr>
            <w:tcW w:w="2335" w:type="dxa"/>
          </w:tcPr>
          <w:p w14:paraId="60CDDEF5" w14:textId="77777777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4D6D20">
              <w:rPr>
                <w:rFonts w:ascii="Century Gothic" w:hAnsi="Century Gothic"/>
                <w:spacing w:val="-1"/>
                <w:sz w:val="18"/>
              </w:rPr>
              <w:t>Travel</w:t>
            </w:r>
          </w:p>
        </w:tc>
        <w:tc>
          <w:tcPr>
            <w:tcW w:w="2250" w:type="dxa"/>
            <w:shd w:val="clear" w:color="auto" w:fill="auto"/>
          </w:tcPr>
          <w:p w14:paraId="74D142EB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7FFD93D1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</w:tcPr>
          <w:p w14:paraId="650EAD67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296A95" w:rsidRPr="004D6D20" w14:paraId="326C5CD8" w14:textId="7F1F2B52" w:rsidTr="001140DF">
        <w:trPr>
          <w:trHeight w:hRule="exact" w:val="937"/>
        </w:trPr>
        <w:tc>
          <w:tcPr>
            <w:tcW w:w="2335" w:type="dxa"/>
          </w:tcPr>
          <w:p w14:paraId="2FFCF52F" w14:textId="77777777" w:rsidR="00296A95" w:rsidRPr="004D6D20" w:rsidRDefault="00296A95" w:rsidP="00296A95">
            <w:pPr>
              <w:pStyle w:val="TableParagraph"/>
              <w:spacing w:before="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4D6D20">
              <w:rPr>
                <w:rFonts w:ascii="Century Gothic" w:hAnsi="Century Gothic"/>
                <w:spacing w:val="-1"/>
                <w:sz w:val="18"/>
              </w:rPr>
              <w:t>Meetings</w:t>
            </w:r>
          </w:p>
        </w:tc>
        <w:tc>
          <w:tcPr>
            <w:tcW w:w="2250" w:type="dxa"/>
            <w:shd w:val="clear" w:color="auto" w:fill="auto"/>
          </w:tcPr>
          <w:p w14:paraId="60C6B7B7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6DE0255A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</w:tcPr>
          <w:p w14:paraId="69CDDFFF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296A95" w:rsidRPr="004D6D20" w14:paraId="5D0378DB" w14:textId="1A17398B" w:rsidTr="001140DF">
        <w:trPr>
          <w:trHeight w:hRule="exact" w:val="808"/>
        </w:trPr>
        <w:tc>
          <w:tcPr>
            <w:tcW w:w="2335" w:type="dxa"/>
          </w:tcPr>
          <w:p w14:paraId="02328FDB" w14:textId="77777777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4D6D20">
              <w:rPr>
                <w:rFonts w:ascii="Century Gothic" w:hAnsi="Century Gothic"/>
                <w:sz w:val="18"/>
              </w:rPr>
              <w:t>Printing</w:t>
            </w:r>
          </w:p>
        </w:tc>
        <w:tc>
          <w:tcPr>
            <w:tcW w:w="2250" w:type="dxa"/>
            <w:shd w:val="clear" w:color="auto" w:fill="auto"/>
          </w:tcPr>
          <w:p w14:paraId="0E43B8CB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3C341182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</w:tcPr>
          <w:p w14:paraId="08073F4C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296A95" w:rsidRPr="004D6D20" w14:paraId="66E675EF" w14:textId="19140A1F" w:rsidTr="001140DF">
        <w:trPr>
          <w:trHeight w:hRule="exact" w:val="817"/>
        </w:trPr>
        <w:tc>
          <w:tcPr>
            <w:tcW w:w="2335" w:type="dxa"/>
          </w:tcPr>
          <w:p w14:paraId="69405BD2" w14:textId="77777777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4D6D20">
              <w:rPr>
                <w:rFonts w:ascii="Century Gothic" w:hAnsi="Century Gothic"/>
                <w:sz w:val="18"/>
              </w:rPr>
              <w:t>Honoraria</w:t>
            </w:r>
          </w:p>
        </w:tc>
        <w:tc>
          <w:tcPr>
            <w:tcW w:w="2250" w:type="dxa"/>
            <w:shd w:val="clear" w:color="auto" w:fill="auto"/>
          </w:tcPr>
          <w:p w14:paraId="21565EB2" w14:textId="77777777" w:rsidR="00296A95" w:rsidRPr="004D6D20" w:rsidRDefault="00296A95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340" w:type="dxa"/>
          </w:tcPr>
          <w:p w14:paraId="2664BD27" w14:textId="77777777" w:rsidR="00296A95" w:rsidRPr="004D6D20" w:rsidRDefault="00296A95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780" w:type="dxa"/>
          </w:tcPr>
          <w:p w14:paraId="30D513FD" w14:textId="77777777" w:rsidR="00296A95" w:rsidRPr="004D6D20" w:rsidRDefault="00296A95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296A95" w:rsidRPr="004D6D20" w14:paraId="27E83A6A" w14:textId="796CAABF" w:rsidTr="001140DF">
        <w:trPr>
          <w:trHeight w:hRule="exact" w:val="712"/>
        </w:trPr>
        <w:tc>
          <w:tcPr>
            <w:tcW w:w="2335" w:type="dxa"/>
          </w:tcPr>
          <w:p w14:paraId="32472F90" w14:textId="77777777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4D6D20">
              <w:rPr>
                <w:rFonts w:ascii="Century Gothic" w:hAnsi="Century Gothic"/>
                <w:spacing w:val="-1"/>
                <w:sz w:val="18"/>
              </w:rPr>
              <w:t>Telephone</w:t>
            </w:r>
          </w:p>
        </w:tc>
        <w:tc>
          <w:tcPr>
            <w:tcW w:w="2250" w:type="dxa"/>
            <w:shd w:val="clear" w:color="auto" w:fill="auto"/>
          </w:tcPr>
          <w:p w14:paraId="0C4C308B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3B67359F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</w:tcPr>
          <w:p w14:paraId="58DF596C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296A95" w:rsidRPr="004D6D20" w14:paraId="26D98B38" w14:textId="0B765DC7" w:rsidTr="001140DF">
        <w:trPr>
          <w:trHeight w:hRule="exact" w:val="628"/>
        </w:trPr>
        <w:tc>
          <w:tcPr>
            <w:tcW w:w="2335" w:type="dxa"/>
          </w:tcPr>
          <w:p w14:paraId="1315C416" w14:textId="77777777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4D6D20">
              <w:rPr>
                <w:rFonts w:ascii="Century Gothic" w:hAnsi="Century Gothic"/>
                <w:sz w:val="18"/>
              </w:rPr>
              <w:t>Subcontractors</w:t>
            </w:r>
          </w:p>
        </w:tc>
        <w:tc>
          <w:tcPr>
            <w:tcW w:w="2250" w:type="dxa"/>
            <w:shd w:val="clear" w:color="auto" w:fill="auto"/>
          </w:tcPr>
          <w:p w14:paraId="3A53DF8F" w14:textId="77777777" w:rsidR="00296A95" w:rsidRPr="004D6D20" w:rsidRDefault="00296A95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340" w:type="dxa"/>
          </w:tcPr>
          <w:p w14:paraId="46D63A95" w14:textId="77777777" w:rsidR="00296A95" w:rsidRPr="004D6D20" w:rsidRDefault="00296A95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780" w:type="dxa"/>
          </w:tcPr>
          <w:p w14:paraId="56F85117" w14:textId="77777777" w:rsidR="00296A95" w:rsidRPr="004D6D20" w:rsidRDefault="00296A95" w:rsidP="00296A95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296A95" w:rsidRPr="004D6D20" w14:paraId="7ECCE92E" w14:textId="0F4BC93C" w:rsidTr="001140DF">
        <w:trPr>
          <w:trHeight w:hRule="exact" w:val="757"/>
        </w:trPr>
        <w:tc>
          <w:tcPr>
            <w:tcW w:w="2335" w:type="dxa"/>
          </w:tcPr>
          <w:p w14:paraId="02BEA9C8" w14:textId="77777777" w:rsidR="00296A95" w:rsidRPr="004D6D20" w:rsidRDefault="00296A95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4D6D20">
              <w:rPr>
                <w:rFonts w:ascii="Century Gothic" w:hAnsi="Century Gothic"/>
                <w:spacing w:val="-1"/>
                <w:sz w:val="18"/>
              </w:rPr>
              <w:t>Consultants</w:t>
            </w:r>
          </w:p>
        </w:tc>
        <w:tc>
          <w:tcPr>
            <w:tcW w:w="2250" w:type="dxa"/>
            <w:shd w:val="clear" w:color="auto" w:fill="auto"/>
          </w:tcPr>
          <w:p w14:paraId="333B9801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</w:tcPr>
          <w:p w14:paraId="3C5C6DDA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</w:tcPr>
          <w:p w14:paraId="6973A928" w14:textId="77777777" w:rsidR="00296A95" w:rsidRPr="004D6D20" w:rsidRDefault="00296A95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69276F" w:rsidRPr="004D6D20" w14:paraId="263D2665" w14:textId="152D63BD" w:rsidTr="001140DF">
        <w:trPr>
          <w:trHeight w:hRule="exact" w:val="685"/>
        </w:trPr>
        <w:tc>
          <w:tcPr>
            <w:tcW w:w="2335" w:type="dxa"/>
            <w:shd w:val="clear" w:color="auto" w:fill="D9D9D9" w:themeFill="background1" w:themeFillShade="D9"/>
          </w:tcPr>
          <w:p w14:paraId="6825F86A" w14:textId="77777777" w:rsidR="0069276F" w:rsidRDefault="0069276F" w:rsidP="00296A95">
            <w:pPr>
              <w:pStyle w:val="TableParagraph"/>
              <w:spacing w:before="18"/>
              <w:ind w:left="25"/>
              <w:rPr>
                <w:rFonts w:ascii="Century Gothic" w:hAnsi="Century Gothic"/>
                <w:b/>
                <w:bCs/>
                <w:spacing w:val="-1"/>
                <w:sz w:val="18"/>
              </w:rPr>
            </w:pPr>
            <w:r w:rsidRPr="004D6D20">
              <w:rPr>
                <w:rFonts w:ascii="Century Gothic" w:hAnsi="Century Gothic"/>
                <w:b/>
                <w:bCs/>
                <w:spacing w:val="-1"/>
                <w:sz w:val="18"/>
              </w:rPr>
              <w:t xml:space="preserve">TOTAL OTHER DIRECT EXPENSES </w:t>
            </w:r>
          </w:p>
          <w:p w14:paraId="5E2649B5" w14:textId="6C8FEA8C" w:rsidR="001140DF" w:rsidRPr="004D6D20" w:rsidRDefault="001140DF" w:rsidP="00296A95">
            <w:pPr>
              <w:pStyle w:val="TableParagraph"/>
              <w:spacing w:before="18"/>
              <w:ind w:left="25"/>
              <w:rPr>
                <w:rFonts w:ascii="Century Gothic" w:eastAsia="Calibri" w:hAnsi="Century Gothic" w:cs="Calibri"/>
                <w:b/>
                <w:bCs/>
                <w:sz w:val="18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C2557AE" w14:textId="77777777" w:rsidR="0069276F" w:rsidRPr="004D6D20" w:rsidRDefault="0069276F" w:rsidP="00296A95">
            <w:pPr>
              <w:pStyle w:val="TableParagraph"/>
              <w:spacing w:before="18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2F26BF0A" w14:textId="77777777" w:rsidR="0069276F" w:rsidRPr="004D6D20" w:rsidRDefault="0069276F" w:rsidP="00296A95">
            <w:pPr>
              <w:pStyle w:val="TableParagraph"/>
              <w:spacing w:before="18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  <w:vMerge w:val="restart"/>
            <w:shd w:val="clear" w:color="auto" w:fill="D9D9D9" w:themeFill="background1" w:themeFillShade="D9"/>
          </w:tcPr>
          <w:p w14:paraId="690D3D27" w14:textId="77777777" w:rsidR="0069276F" w:rsidRDefault="0069276F" w:rsidP="00296A95">
            <w:pPr>
              <w:pStyle w:val="TableParagraph"/>
              <w:spacing w:before="18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  <w:p w14:paraId="0957F4F9" w14:textId="4E5D36D4" w:rsidR="0069276F" w:rsidRPr="004D6D20" w:rsidRDefault="0069276F" w:rsidP="00296A95">
            <w:pPr>
              <w:pStyle w:val="TableParagraph"/>
              <w:spacing w:before="18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69276F" w:rsidRPr="004D6D20" w14:paraId="1948D477" w14:textId="0E5DA77D" w:rsidTr="001140DF">
        <w:trPr>
          <w:trHeight w:hRule="exact" w:val="290"/>
        </w:trPr>
        <w:tc>
          <w:tcPr>
            <w:tcW w:w="2335" w:type="dxa"/>
            <w:shd w:val="clear" w:color="auto" w:fill="642667"/>
          </w:tcPr>
          <w:p w14:paraId="12F6BDA5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b/>
                <w:bCs/>
                <w:sz w:val="18"/>
                <w:szCs w:val="20"/>
              </w:rPr>
            </w:pPr>
            <w:r w:rsidRPr="00824A3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</w:rPr>
              <w:t>INDIRECT EXPENSES</w:t>
            </w:r>
          </w:p>
        </w:tc>
        <w:tc>
          <w:tcPr>
            <w:tcW w:w="2250" w:type="dxa"/>
            <w:shd w:val="clear" w:color="auto" w:fill="642667"/>
          </w:tcPr>
          <w:p w14:paraId="0BEE070C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bCs/>
                <w:spacing w:val="-1"/>
                <w:sz w:val="18"/>
              </w:rPr>
            </w:pPr>
          </w:p>
        </w:tc>
        <w:tc>
          <w:tcPr>
            <w:tcW w:w="2340" w:type="dxa"/>
            <w:shd w:val="clear" w:color="auto" w:fill="642667"/>
          </w:tcPr>
          <w:p w14:paraId="303CB3AD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bCs/>
                <w:spacing w:val="-1"/>
                <w:sz w:val="18"/>
              </w:rPr>
            </w:pPr>
          </w:p>
        </w:tc>
        <w:tc>
          <w:tcPr>
            <w:tcW w:w="3780" w:type="dxa"/>
            <w:vMerge/>
            <w:shd w:val="clear" w:color="auto" w:fill="D9D9D9" w:themeFill="background1" w:themeFillShade="D9"/>
          </w:tcPr>
          <w:p w14:paraId="39EF0E46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bCs/>
                <w:spacing w:val="-1"/>
                <w:sz w:val="18"/>
              </w:rPr>
            </w:pPr>
          </w:p>
        </w:tc>
      </w:tr>
      <w:tr w:rsidR="0069276F" w:rsidRPr="004D6D20" w14:paraId="19007EBB" w14:textId="23035F2F" w:rsidTr="001140DF">
        <w:trPr>
          <w:trHeight w:hRule="exact" w:val="523"/>
        </w:trPr>
        <w:tc>
          <w:tcPr>
            <w:tcW w:w="2335" w:type="dxa"/>
            <w:shd w:val="clear" w:color="auto" w:fill="D9D9D9" w:themeFill="background1" w:themeFillShade="D9"/>
          </w:tcPr>
          <w:p w14:paraId="1A0B8D62" w14:textId="034BDFF5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b/>
                <w:bCs/>
                <w:sz w:val="18"/>
                <w:szCs w:val="20"/>
              </w:rPr>
            </w:pPr>
            <w:r w:rsidRPr="004D6D20">
              <w:rPr>
                <w:rFonts w:ascii="Century Gothic" w:hAnsi="Century Gothic"/>
                <w:b/>
                <w:bCs/>
                <w:spacing w:val="-1"/>
                <w:sz w:val="18"/>
              </w:rPr>
              <w:t>TOTAL INDIRECT</w:t>
            </w:r>
            <w:r>
              <w:rPr>
                <w:rFonts w:ascii="Century Gothic" w:hAnsi="Century Gothic"/>
                <w:b/>
                <w:bCs/>
                <w:spacing w:val="-1"/>
                <w:sz w:val="18"/>
              </w:rPr>
              <w:t xml:space="preserve">* </w:t>
            </w:r>
            <w:r w:rsidRPr="004D6D20">
              <w:rPr>
                <w:rFonts w:ascii="Century Gothic" w:hAnsi="Century Gothic"/>
                <w:b/>
                <w:bCs/>
                <w:spacing w:val="-1"/>
                <w:sz w:val="18"/>
              </w:rPr>
              <w:t xml:space="preserve">EXPENSES </w:t>
            </w:r>
            <w:r>
              <w:rPr>
                <w:rFonts w:ascii="Century Gothic" w:hAnsi="Century Gothic"/>
                <w:b/>
                <w:bCs/>
                <w:spacing w:val="-1"/>
                <w:sz w:val="18"/>
              </w:rPr>
              <w:t>(61.36%)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13234F5" w14:textId="77777777" w:rsidR="0069276F" w:rsidRPr="004D6D20" w:rsidRDefault="0069276F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745FC267" w14:textId="77777777" w:rsidR="0069276F" w:rsidRPr="004D6D20" w:rsidRDefault="0069276F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  <w:vMerge/>
            <w:shd w:val="clear" w:color="auto" w:fill="D9D9D9" w:themeFill="background1" w:themeFillShade="D9"/>
          </w:tcPr>
          <w:p w14:paraId="53675A0D" w14:textId="77777777" w:rsidR="0069276F" w:rsidRPr="004D6D20" w:rsidRDefault="0069276F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  <w:tr w:rsidR="0069276F" w:rsidRPr="004D6D20" w14:paraId="7BC73AC5" w14:textId="3EF6859B" w:rsidTr="001140DF">
        <w:trPr>
          <w:trHeight w:hRule="exact" w:val="485"/>
        </w:trPr>
        <w:tc>
          <w:tcPr>
            <w:tcW w:w="2335" w:type="dxa"/>
            <w:shd w:val="clear" w:color="auto" w:fill="D9D9D9"/>
          </w:tcPr>
          <w:p w14:paraId="430A9750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hAnsi="Century Gothic"/>
                <w:b/>
                <w:spacing w:val="-1"/>
                <w:sz w:val="18"/>
              </w:rPr>
            </w:pPr>
            <w:r w:rsidRPr="004D6D20">
              <w:rPr>
                <w:rFonts w:ascii="Century Gothic" w:hAnsi="Century Gothic"/>
                <w:b/>
                <w:spacing w:val="-1"/>
                <w:sz w:val="18"/>
              </w:rPr>
              <w:t xml:space="preserve">GRAND TOTAL </w:t>
            </w:r>
          </w:p>
          <w:p w14:paraId="085BA791" w14:textId="77777777" w:rsidR="0069276F" w:rsidRPr="004D6D20" w:rsidRDefault="0069276F" w:rsidP="00296A95">
            <w:pPr>
              <w:pStyle w:val="TableParagraph"/>
              <w:spacing w:before="17"/>
              <w:ind w:left="25"/>
              <w:rPr>
                <w:rFonts w:ascii="Century Gothic" w:eastAsia="Calibri" w:hAnsi="Century Gothic" w:cs="Calibri"/>
                <w:sz w:val="18"/>
                <w:szCs w:val="20"/>
              </w:rPr>
            </w:pPr>
            <w:r w:rsidRPr="00280F92">
              <w:rPr>
                <w:rFonts w:ascii="Century Gothic" w:hAnsi="Century Gothic"/>
                <w:b/>
                <w:spacing w:val="-1"/>
                <w:sz w:val="14"/>
                <w:szCs w:val="18"/>
              </w:rPr>
              <w:t>(PERSONNEL + OTHER DIRECT + INDIRECT)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135F121" w14:textId="77777777" w:rsidR="0069276F" w:rsidRPr="004D6D20" w:rsidRDefault="0069276F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2340" w:type="dxa"/>
            <w:shd w:val="clear" w:color="auto" w:fill="D9D9D9"/>
          </w:tcPr>
          <w:p w14:paraId="7AF21ACD" w14:textId="77777777" w:rsidR="0069276F" w:rsidRPr="004D6D20" w:rsidRDefault="0069276F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  <w:tc>
          <w:tcPr>
            <w:tcW w:w="3780" w:type="dxa"/>
            <w:vMerge/>
            <w:shd w:val="clear" w:color="auto" w:fill="D9D9D9" w:themeFill="background1" w:themeFillShade="D9"/>
          </w:tcPr>
          <w:p w14:paraId="12705FD5" w14:textId="77777777" w:rsidR="0069276F" w:rsidRPr="004D6D20" w:rsidRDefault="0069276F" w:rsidP="00296A95">
            <w:pPr>
              <w:pStyle w:val="TableParagraph"/>
              <w:spacing w:before="17"/>
              <w:ind w:right="23"/>
              <w:jc w:val="center"/>
              <w:rPr>
                <w:rFonts w:ascii="Century Gothic" w:eastAsia="Calibri" w:hAnsi="Century Gothic" w:cs="Calibri"/>
                <w:sz w:val="18"/>
                <w:szCs w:val="20"/>
              </w:rPr>
            </w:pPr>
          </w:p>
        </w:tc>
      </w:tr>
    </w:tbl>
    <w:p w14:paraId="3632858B" w14:textId="2EB568A2" w:rsidR="00296A95" w:rsidRPr="00C672BA" w:rsidRDefault="00E2430F" w:rsidP="002A03C1">
      <w:pPr>
        <w:spacing w:before="10"/>
        <w:rPr>
          <w:rFonts w:ascii="Century Gothic" w:hAnsi="Century Gothic"/>
          <w:color w:val="2E75B5"/>
          <w:spacing w:val="-1"/>
        </w:rPr>
      </w:pPr>
      <w:r>
        <w:rPr>
          <w:rFonts w:ascii="Century Gothic" w:hAnsi="Century Gothic"/>
          <w:noProof/>
          <w:color w:val="2E75B5"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A987" wp14:editId="72EEF0FD">
                <wp:simplePos x="0" y="0"/>
                <wp:positionH relativeFrom="margin">
                  <wp:posOffset>-177800</wp:posOffset>
                </wp:positionH>
                <wp:positionV relativeFrom="paragraph">
                  <wp:posOffset>8107045</wp:posOffset>
                </wp:positionV>
                <wp:extent cx="6267450" cy="55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13733" w14:textId="77777777" w:rsidR="00296A95" w:rsidRPr="00C672BA" w:rsidRDefault="00296A95" w:rsidP="00296A95">
                            <w:pPr>
                              <w:rPr>
                                <w:rFonts w:ascii="Century Gothic" w:eastAsia="Calibri" w:hAnsi="Century Gothic" w:cs="Calibri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 w:rsidRPr="00A93790"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>*</w:t>
                            </w:r>
                            <w:r w:rsidRPr="00A93790">
                              <w:t xml:space="preserve"> </w:t>
                            </w:r>
                            <w:r w:rsidRPr="00A93790"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 xml:space="preserve">Subrecipients are </w:t>
                            </w:r>
                            <w:r w:rsidRPr="00A93790"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  <w:u w:val="single"/>
                              </w:rPr>
                              <w:t>not</w:t>
                            </w:r>
                            <w:r w:rsidRPr="00A93790"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 xml:space="preserve"> required to use ACOG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>’s</w:t>
                            </w:r>
                            <w:r w:rsidRPr="00A93790"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 xml:space="preserve"> negotiated rate of 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>61.36%</w:t>
                            </w:r>
                            <w:r w:rsidRPr="00A93790"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>. Subrecipients should use their own negotiated rate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 xml:space="preserve">; if this </w:t>
                            </w:r>
                            <w:r w:rsidRPr="00A93790"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 xml:space="preserve">rate is higher than 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20"/>
                                <w:szCs w:val="20"/>
                              </w:rPr>
                              <w:t xml:space="preserve">61.36%, additional documentation may be required. </w:t>
                            </w:r>
                          </w:p>
                          <w:p w14:paraId="56004CCB" w14:textId="77777777" w:rsidR="00296A95" w:rsidRDefault="00296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DA9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pt;margin-top:638.35pt;width:493.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I+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" fillcolor="white [3201]" stroked="f" strokeweight=".5pt">
                <v:textbox>
                  <w:txbxContent>
                    <w:p w14:paraId="23C13733" w14:textId="77777777" w:rsidR="00296A95" w:rsidRPr="00C672BA" w:rsidRDefault="00296A95" w:rsidP="00296A95">
                      <w:pPr>
                        <w:rPr>
                          <w:rFonts w:ascii="Century Gothic" w:eastAsia="Calibri" w:hAnsi="Century Gothic" w:cs="Calibri"/>
                          <w:b/>
                          <w:bCs/>
                          <w:sz w:val="29"/>
                          <w:szCs w:val="29"/>
                        </w:rPr>
                      </w:pPr>
                      <w:r w:rsidRPr="00A93790"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>*</w:t>
                      </w:r>
                      <w:r w:rsidRPr="00A93790">
                        <w:t xml:space="preserve"> </w:t>
                      </w:r>
                      <w:r w:rsidRPr="00A93790"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 xml:space="preserve">Subrecipients are </w:t>
                      </w:r>
                      <w:r w:rsidRPr="00A93790">
                        <w:rPr>
                          <w:rFonts w:ascii="Century Gothic" w:eastAsia="Calibri" w:hAnsi="Century Gothic" w:cs="Calibri"/>
                          <w:sz w:val="20"/>
                          <w:szCs w:val="20"/>
                          <w:u w:val="single"/>
                        </w:rPr>
                        <w:t>not</w:t>
                      </w:r>
                      <w:r w:rsidRPr="00A93790"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 xml:space="preserve"> required to use ACOG</w:t>
                      </w:r>
                      <w:r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>’s</w:t>
                      </w:r>
                      <w:r w:rsidRPr="00A93790"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 xml:space="preserve"> negotiated rate of </w:t>
                      </w:r>
                      <w:r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>61.36%</w:t>
                      </w:r>
                      <w:r w:rsidRPr="00A93790"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>. Subrecipients should use their own negotiated rate</w:t>
                      </w:r>
                      <w:r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 xml:space="preserve">; if this </w:t>
                      </w:r>
                      <w:r w:rsidRPr="00A93790"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 xml:space="preserve">rate is higher than </w:t>
                      </w:r>
                      <w:r>
                        <w:rPr>
                          <w:rFonts w:ascii="Century Gothic" w:eastAsia="Calibri" w:hAnsi="Century Gothic" w:cs="Calibri"/>
                          <w:sz w:val="20"/>
                          <w:szCs w:val="20"/>
                        </w:rPr>
                        <w:t xml:space="preserve">61.36%, additional documentation may be required. </w:t>
                      </w:r>
                    </w:p>
                    <w:p w14:paraId="56004CCB" w14:textId="77777777" w:rsidR="00296A95" w:rsidRDefault="00296A95"/>
                  </w:txbxContent>
                </v:textbox>
                <w10:wrap anchorx="margin"/>
              </v:shape>
            </w:pict>
          </mc:Fallback>
        </mc:AlternateContent>
      </w:r>
    </w:p>
    <w:sectPr w:rsidR="00296A95" w:rsidRPr="00C672BA" w:rsidSect="009D74A8">
      <w:footerReference w:type="default" r:id="rId12"/>
      <w:type w:val="continuous"/>
      <w:pgSz w:w="12240" w:h="15840"/>
      <w:pgMar w:top="720" w:right="720" w:bottom="36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2E0E" w14:textId="77777777" w:rsidR="00615C45" w:rsidRDefault="00615C45" w:rsidP="000E3320">
      <w:r>
        <w:separator/>
      </w:r>
    </w:p>
  </w:endnote>
  <w:endnote w:type="continuationSeparator" w:id="0">
    <w:p w14:paraId="44E18D6B" w14:textId="77777777" w:rsidR="00615C45" w:rsidRDefault="00615C45" w:rsidP="000E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65A" w14:textId="1FCDAFF8" w:rsidR="000E3320" w:rsidRPr="000E3320" w:rsidRDefault="000E3320" w:rsidP="000E3320">
    <w:pPr>
      <w:pStyle w:val="Footer"/>
      <w:jc w:val="right"/>
      <w:rPr>
        <w:rFonts w:ascii="Century Gothic" w:hAnsi="Century Gothic"/>
        <w:sz w:val="18"/>
        <w:szCs w:val="18"/>
      </w:rPr>
    </w:pPr>
    <w:r w:rsidRPr="000E3320">
      <w:rPr>
        <w:rFonts w:ascii="Century Gothic" w:hAnsi="Century Gothic"/>
        <w:sz w:val="18"/>
        <w:szCs w:val="18"/>
      </w:rPr>
      <w:t>202</w:t>
    </w:r>
    <w:r w:rsidR="00EA0BCB">
      <w:rPr>
        <w:rFonts w:ascii="Century Gothic" w:hAnsi="Century Gothic"/>
        <w:sz w:val="18"/>
        <w:szCs w:val="18"/>
      </w:rPr>
      <w:t>4</w:t>
    </w:r>
    <w:r w:rsidR="0084251E">
      <w:rPr>
        <w:rFonts w:ascii="Century Gothic" w:hAnsi="Century Gothic"/>
        <w:sz w:val="18"/>
        <w:szCs w:val="18"/>
      </w:rPr>
      <w:t>_0</w:t>
    </w:r>
    <w:r w:rsidR="00EA0BCB">
      <w:rPr>
        <w:rFonts w:ascii="Century Gothic" w:hAnsi="Century Gothic"/>
        <w:sz w:val="18"/>
        <w:szCs w:val="18"/>
      </w:rPr>
      <w:t>5</w:t>
    </w:r>
  </w:p>
  <w:p w14:paraId="35DBBF80" w14:textId="77777777" w:rsidR="000E3320" w:rsidRDefault="000E3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B9C3" w14:textId="77777777" w:rsidR="00615C45" w:rsidRDefault="00615C45" w:rsidP="000E3320">
      <w:r>
        <w:separator/>
      </w:r>
    </w:p>
  </w:footnote>
  <w:footnote w:type="continuationSeparator" w:id="0">
    <w:p w14:paraId="72396F82" w14:textId="77777777" w:rsidR="00615C45" w:rsidRDefault="00615C45" w:rsidP="000E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47C"/>
    <w:multiLevelType w:val="hybridMultilevel"/>
    <w:tmpl w:val="5B82E504"/>
    <w:lvl w:ilvl="0" w:tplc="164CBD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8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CC"/>
    <w:rsid w:val="00066B90"/>
    <w:rsid w:val="00075845"/>
    <w:rsid w:val="000871CE"/>
    <w:rsid w:val="000E3320"/>
    <w:rsid w:val="001140DF"/>
    <w:rsid w:val="00150A8C"/>
    <w:rsid w:val="00177776"/>
    <w:rsid w:val="001E5980"/>
    <w:rsid w:val="002035D5"/>
    <w:rsid w:val="002259C2"/>
    <w:rsid w:val="00280F92"/>
    <w:rsid w:val="0029087F"/>
    <w:rsid w:val="00296A95"/>
    <w:rsid w:val="002A03C1"/>
    <w:rsid w:val="002A14E7"/>
    <w:rsid w:val="002D11D7"/>
    <w:rsid w:val="002D61C0"/>
    <w:rsid w:val="002D65AF"/>
    <w:rsid w:val="002F3A3A"/>
    <w:rsid w:val="00330AC3"/>
    <w:rsid w:val="003653B3"/>
    <w:rsid w:val="003717E3"/>
    <w:rsid w:val="003859BB"/>
    <w:rsid w:val="003E1DAB"/>
    <w:rsid w:val="00440350"/>
    <w:rsid w:val="00473C0B"/>
    <w:rsid w:val="004F0CB1"/>
    <w:rsid w:val="0050416E"/>
    <w:rsid w:val="00515FDE"/>
    <w:rsid w:val="00545061"/>
    <w:rsid w:val="005845B6"/>
    <w:rsid w:val="005D0F84"/>
    <w:rsid w:val="005E7A23"/>
    <w:rsid w:val="0060021E"/>
    <w:rsid w:val="00615C45"/>
    <w:rsid w:val="00635F78"/>
    <w:rsid w:val="0069276F"/>
    <w:rsid w:val="006A6324"/>
    <w:rsid w:val="006D7DBA"/>
    <w:rsid w:val="006E2E34"/>
    <w:rsid w:val="007763C3"/>
    <w:rsid w:val="007E546E"/>
    <w:rsid w:val="007F4CBE"/>
    <w:rsid w:val="008123EB"/>
    <w:rsid w:val="008159AE"/>
    <w:rsid w:val="00824A3F"/>
    <w:rsid w:val="0084251E"/>
    <w:rsid w:val="00857F62"/>
    <w:rsid w:val="00926E13"/>
    <w:rsid w:val="00966BEF"/>
    <w:rsid w:val="009B32E3"/>
    <w:rsid w:val="009C18B2"/>
    <w:rsid w:val="009D15D4"/>
    <w:rsid w:val="009D74A8"/>
    <w:rsid w:val="00A34436"/>
    <w:rsid w:val="00A93790"/>
    <w:rsid w:val="00AB1CDE"/>
    <w:rsid w:val="00AE386D"/>
    <w:rsid w:val="00AE6957"/>
    <w:rsid w:val="00B534A8"/>
    <w:rsid w:val="00BB3B96"/>
    <w:rsid w:val="00C172CC"/>
    <w:rsid w:val="00C672BA"/>
    <w:rsid w:val="00C8509A"/>
    <w:rsid w:val="00C903E7"/>
    <w:rsid w:val="00CA5554"/>
    <w:rsid w:val="00CB0F6C"/>
    <w:rsid w:val="00D76BD0"/>
    <w:rsid w:val="00E2430F"/>
    <w:rsid w:val="00E578CA"/>
    <w:rsid w:val="00EA0BCB"/>
    <w:rsid w:val="00F90375"/>
    <w:rsid w:val="7DF35A3E"/>
    <w:rsid w:val="7FCED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6FD06"/>
  <w15:docId w15:val="{43CEAE85-5A90-47C2-9B36-7B6620E1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58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6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3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320"/>
  </w:style>
  <w:style w:type="paragraph" w:styleId="Footer">
    <w:name w:val="footer"/>
    <w:basedOn w:val="Normal"/>
    <w:link w:val="FooterChar"/>
    <w:uiPriority w:val="99"/>
    <w:unhideWhenUsed/>
    <w:rsid w:val="000E3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9949CA8486A4F9D90CE30E112E28C" ma:contentTypeVersion="22" ma:contentTypeDescription="Create a new document." ma:contentTypeScope="" ma:versionID="ed1690959cee09d938df6279ffc1c22b">
  <xsd:schema xmlns:xsd="http://www.w3.org/2001/XMLSchema" xmlns:xs="http://www.w3.org/2001/XMLSchema" xmlns:p="http://schemas.microsoft.com/office/2006/metadata/properties" xmlns:ns1="http://schemas.microsoft.com/sharepoint/v3" xmlns:ns2="8ff2c333-3f20-4d5c-ba74-2df0e24339a9" xmlns:ns3="29208c69-de19-43a7-82d8-fbf8b64e8955" targetNamespace="http://schemas.microsoft.com/office/2006/metadata/properties" ma:root="true" ma:fieldsID="efaf317fd8e88e029fc2680475fb6dad" ns1:_="" ns2:_="" ns3:_="">
    <xsd:import namespace="http://schemas.microsoft.com/sharepoint/v3"/>
    <xsd:import namespace="8ff2c333-3f20-4d5c-ba74-2df0e24339a9"/>
    <xsd:import namespace="29208c69-de19-43a7-82d8-fbf8b64e8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2c333-3f20-4d5c-ba74-2df0e2433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5feedb-965a-4edd-b9e7-2216e24e31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08c69-de19-43a7-82d8-fbf8b64e8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d06a9-628e-450b-82d4-2a0c039fe990}" ma:internalName="TaxCatchAll" ma:showField="CatchAllData" ma:web="29208c69-de19-43a7-82d8-fbf8b64e8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08c69-de19-43a7-82d8-fbf8b64e8955" xsi:nil="true"/>
    <lcf76f155ced4ddcb4097134ff3c332f xmlns="8ff2c333-3f20-4d5c-ba74-2df0e24339a9">
      <Terms xmlns="http://schemas.microsoft.com/office/infopath/2007/PartnerControls"/>
    </lcf76f155ced4ddcb4097134ff3c332f>
    <_ip_UnifiedCompliancePolicyUIAction xmlns="http://schemas.microsoft.com/sharepoint/v3" xsi:nil="true"/>
    <Image xmlns="8ff2c333-3f20-4d5c-ba74-2df0e24339a9" xsi:nil="true"/>
    <_ip_UnifiedCompliancePolicyProperties xmlns="http://schemas.microsoft.com/sharepoint/v3" xsi:nil="true"/>
    <Notes xmlns="8ff2c333-3f20-4d5c-ba74-2df0e24339a9" xsi:nil="true"/>
  </documentManagement>
</p:properties>
</file>

<file path=customXml/itemProps1.xml><?xml version="1.0" encoding="utf-8"?>
<ds:datastoreItem xmlns:ds="http://schemas.openxmlformats.org/officeDocument/2006/customXml" ds:itemID="{6616B43D-18A0-4EAF-A9B6-A8A272DEC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32266-1452-4E3D-8CA2-506A353DD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2c333-3f20-4d5c-ba74-2df0e24339a9"/>
    <ds:schemaRef ds:uri="29208c69-de19-43a7-82d8-fbf8b64e8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54060-7AD8-4D0A-9F1E-A365D2418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EDF51-AE75-4DFD-90B5-06752CACDC86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29208c69-de19-43a7-82d8-fbf8b64e8955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ff2c333-3f20-4d5c-ba74-2df0e2433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Penelope Williams</dc:creator>
  <cp:lastModifiedBy>Sathya Rajan</cp:lastModifiedBy>
  <cp:revision>3</cp:revision>
  <cp:lastPrinted>2019-01-23T16:51:00Z</cp:lastPrinted>
  <dcterms:created xsi:type="dcterms:W3CDTF">2024-10-16T14:19:00Z</dcterms:created>
  <dcterms:modified xsi:type="dcterms:W3CDTF">2024-10-16T14:20:00Z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LastSaved">
    <vt:filetime>2018-12-19T00:00:00Z</vt:filetime>
  </property>
  <property fmtid="{D5CDD505-2E9C-101B-9397-08002B2CF9AE}" pid="4" name="ContentTypeId">
    <vt:lpwstr>0x01010029D9949CA8486A4F9D90CE30E112E28C</vt:lpwstr>
  </property>
  <property fmtid="{D5CDD505-2E9C-101B-9397-08002B2CF9AE}" pid="5" name="MediaServiceImageTags">
    <vt:lpwstr/>
  </property>
</Properties>
</file>